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C3" w:rsidRDefault="00D93CC3" w:rsidP="00D93CC3">
      <w:pPr>
        <w:pStyle w:val="law-editor-title"/>
        <w:spacing w:before="0" w:beforeAutospacing="0" w:after="0" w:afterAutospacing="0" w:line="240" w:lineRule="exact"/>
        <w:jc w:val="center"/>
        <w:rPr>
          <w:rFonts w:ascii="微软雅黑" w:eastAsia="微软雅黑" w:hAnsi="微软雅黑" w:hint="eastAsia"/>
          <w:b/>
          <w:color w:val="FF0000"/>
          <w:sz w:val="40"/>
          <w:szCs w:val="40"/>
        </w:rPr>
      </w:pPr>
    </w:p>
    <w:p w:rsidR="000D11E9" w:rsidRPr="00D93CC3" w:rsidRDefault="000D11E9" w:rsidP="00D93CC3">
      <w:pPr>
        <w:pStyle w:val="law-editor-title"/>
        <w:spacing w:before="0" w:beforeAutospacing="0" w:after="0" w:afterAutospacing="0" w:line="600" w:lineRule="exact"/>
        <w:jc w:val="center"/>
        <w:rPr>
          <w:rFonts w:ascii="微软雅黑" w:eastAsia="微软雅黑" w:hAnsi="微软雅黑" w:hint="eastAsia"/>
          <w:b/>
          <w:color w:val="FF0000"/>
          <w:sz w:val="40"/>
          <w:szCs w:val="40"/>
        </w:rPr>
      </w:pPr>
      <w:r w:rsidRPr="00D93CC3">
        <w:rPr>
          <w:rFonts w:ascii="微软雅黑" w:eastAsia="微软雅黑" w:hAnsi="微软雅黑" w:hint="eastAsia"/>
          <w:b/>
          <w:color w:val="FF0000"/>
          <w:sz w:val="40"/>
          <w:szCs w:val="40"/>
        </w:rPr>
        <w:t>中华人民共和国印花税法</w:t>
      </w:r>
    </w:p>
    <w:p w:rsidR="00D93CC3" w:rsidRPr="00D93CC3" w:rsidRDefault="00D93CC3" w:rsidP="00D93CC3">
      <w:pPr>
        <w:pStyle w:val="law-editor-title"/>
        <w:spacing w:before="0" w:beforeAutospacing="0" w:after="0" w:afterAutospacing="0" w:line="240" w:lineRule="exact"/>
        <w:jc w:val="center"/>
        <w:rPr>
          <w:rFonts w:ascii="微软雅黑" w:eastAsia="微软雅黑" w:hAnsi="微软雅黑"/>
          <w:b/>
          <w:sz w:val="40"/>
          <w:szCs w:val="40"/>
        </w:rPr>
      </w:pPr>
    </w:p>
    <w:p w:rsidR="000D11E9" w:rsidRPr="00D93CC3" w:rsidRDefault="00C27E36" w:rsidP="00D93CC3">
      <w:pPr>
        <w:pStyle w:val="law-editor-title"/>
        <w:spacing w:before="0" w:beforeAutospacing="0" w:after="0" w:afterAutospacing="0" w:line="240" w:lineRule="exact"/>
        <w:jc w:val="center"/>
        <w:rPr>
          <w:rFonts w:ascii="微软雅黑" w:eastAsia="微软雅黑" w:hAnsi="微软雅黑" w:hint="eastAsia"/>
          <w:sz w:val="22"/>
          <w:szCs w:val="22"/>
        </w:rPr>
      </w:pPr>
      <w:r w:rsidRPr="00D93CC3">
        <w:rPr>
          <w:rFonts w:ascii="微软雅黑" w:eastAsia="微软雅黑" w:hAnsi="微软雅黑" w:hint="eastAsia"/>
          <w:sz w:val="22"/>
          <w:szCs w:val="22"/>
        </w:rPr>
        <w:t>2022-07-01</w:t>
      </w:r>
    </w:p>
    <w:p w:rsidR="00D93CC3" w:rsidRPr="00D93CC3" w:rsidRDefault="00D93CC3" w:rsidP="00D93CC3">
      <w:pPr>
        <w:pStyle w:val="law-editor-title"/>
        <w:spacing w:before="0" w:beforeAutospacing="0" w:after="0" w:afterAutospacing="0" w:line="240" w:lineRule="exact"/>
        <w:jc w:val="center"/>
        <w:rPr>
          <w:rFonts w:ascii="微软雅黑" w:eastAsia="微软雅黑" w:hAnsi="微软雅黑"/>
        </w:rPr>
      </w:pPr>
    </w:p>
    <w:p w:rsidR="000D11E9" w:rsidRPr="00D93CC3" w:rsidRDefault="000D11E9" w:rsidP="00D93CC3">
      <w:pPr>
        <w:pStyle w:val="law-editor-revision"/>
        <w:spacing w:before="0" w:beforeAutospacing="0" w:after="0" w:afterAutospacing="0" w:line="240" w:lineRule="exact"/>
        <w:ind w:left="480" w:right="480"/>
        <w:jc w:val="center"/>
        <w:rPr>
          <w:rFonts w:ascii="微软雅黑" w:eastAsia="微软雅黑" w:hAnsi="微软雅黑"/>
          <w:sz w:val="20"/>
          <w:szCs w:val="20"/>
        </w:rPr>
      </w:pPr>
      <w:r w:rsidRPr="00D93CC3">
        <w:rPr>
          <w:rFonts w:ascii="微软雅黑" w:eastAsia="微软雅黑" w:hAnsi="微软雅黑" w:hint="eastAsia"/>
          <w:sz w:val="20"/>
          <w:szCs w:val="20"/>
        </w:rPr>
        <w:t>（2021年6月10日第十三届全国人民代表大会常务委员会第二十九次会议通过）</w:t>
      </w:r>
    </w:p>
    <w:p w:rsidR="000D11E9" w:rsidRPr="00D93CC3" w:rsidRDefault="000D11E9" w:rsidP="00D93CC3">
      <w:pPr>
        <w:pStyle w:val="padding"/>
        <w:spacing w:before="0" w:beforeAutospacing="0" w:after="0" w:afterAutospacing="0" w:line="300" w:lineRule="exact"/>
        <w:rPr>
          <w:rFonts w:ascii="微软雅黑" w:eastAsia="微软雅黑" w:hAnsi="微软雅黑"/>
        </w:rPr>
      </w:pPr>
      <w:r w:rsidRPr="00D93CC3">
        <w:rPr>
          <w:rFonts w:ascii="微软雅黑" w:eastAsia="微软雅黑" w:hAnsi="微软雅黑" w:hint="eastAsia"/>
          <w:sz w:val="20"/>
          <w:szCs w:val="20"/>
        </w:rPr>
        <w:t> </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rPr>
      </w:pPr>
      <w:r w:rsidRPr="00D93CC3">
        <w:rPr>
          <w:rFonts w:ascii="微软雅黑" w:eastAsia="微软雅黑" w:hAnsi="微软雅黑" w:hint="eastAsia"/>
          <w:b/>
        </w:rPr>
        <w:t>第一条</w:t>
      </w:r>
      <w:r w:rsidRPr="00D93CC3">
        <w:rPr>
          <w:rFonts w:ascii="微软雅黑" w:eastAsia="微软雅黑" w:hAnsi="微软雅黑" w:hint="eastAsia"/>
        </w:rPr>
        <w:t> </w:t>
      </w:r>
      <w:r w:rsidR="002F3034" w:rsidRPr="00D93CC3">
        <w:rPr>
          <w:rFonts w:ascii="微软雅黑" w:eastAsia="微软雅黑" w:hAnsi="微软雅黑" w:hint="eastAsia"/>
        </w:rPr>
        <w:t xml:space="preserve"> </w:t>
      </w:r>
      <w:r w:rsidRPr="00D93CC3">
        <w:rPr>
          <w:rFonts w:ascii="微软雅黑" w:eastAsia="微软雅黑" w:hAnsi="微软雅黑" w:hint="eastAsia"/>
        </w:rPr>
        <w:t>在中华人民共和国境内书立应税凭证、进行证券交易的单位和个人，为印花税的纳税人，应当依照本法规定缴纳印花税。</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color w:val="000000"/>
        </w:rPr>
        <w:t>在中华人民共和国境外书立在境内使用的应税凭证的单位和个人，应当依照本法规定缴纳印花税。</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b/>
          <w:color w:val="000000"/>
        </w:rPr>
        <w:t>第二条</w:t>
      </w:r>
      <w:r w:rsidRPr="00D93CC3">
        <w:rPr>
          <w:rFonts w:ascii="微软雅黑" w:eastAsia="微软雅黑" w:hAnsi="微软雅黑" w:hint="eastAsia"/>
          <w:color w:val="000000"/>
        </w:rPr>
        <w:t> </w:t>
      </w:r>
      <w:r w:rsidR="002F3034" w:rsidRPr="00D93CC3">
        <w:rPr>
          <w:rFonts w:ascii="微软雅黑" w:eastAsia="微软雅黑" w:hAnsi="微软雅黑" w:hint="eastAsia"/>
          <w:color w:val="000000"/>
        </w:rPr>
        <w:t xml:space="preserve"> </w:t>
      </w:r>
      <w:r w:rsidRPr="00D93CC3">
        <w:rPr>
          <w:rFonts w:ascii="微软雅黑" w:eastAsia="微软雅黑" w:hAnsi="微软雅黑" w:hint="eastAsia"/>
          <w:color w:val="000000"/>
        </w:rPr>
        <w:t>本法所称应税凭证，是指本法所附《印花税税目税率表》列明的合同、产权转移书据和营业账簿。</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b/>
          <w:color w:val="000000"/>
        </w:rPr>
        <w:t>第三条</w:t>
      </w:r>
      <w:r w:rsidRPr="00D93CC3">
        <w:rPr>
          <w:rFonts w:ascii="微软雅黑" w:eastAsia="微软雅黑" w:hAnsi="微软雅黑" w:hint="eastAsia"/>
          <w:color w:val="000000"/>
        </w:rPr>
        <w:t> </w:t>
      </w:r>
      <w:r w:rsidR="002F3034" w:rsidRPr="00D93CC3">
        <w:rPr>
          <w:rFonts w:ascii="微软雅黑" w:eastAsia="微软雅黑" w:hAnsi="微软雅黑" w:hint="eastAsia"/>
          <w:color w:val="000000"/>
        </w:rPr>
        <w:t xml:space="preserve"> </w:t>
      </w:r>
      <w:r w:rsidRPr="00D93CC3">
        <w:rPr>
          <w:rFonts w:ascii="微软雅黑" w:eastAsia="微软雅黑" w:hAnsi="微软雅黑" w:hint="eastAsia"/>
          <w:color w:val="000000"/>
        </w:rPr>
        <w:t>本法所称证券交易，是指转让在依法设立的证券交易所、国务院批准的其他全国性证券交易场所交易的股票和以股票为基础的存托凭证。</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color w:val="000000"/>
        </w:rPr>
        <w:t>证券交易印花税对证券交易的出让方征收，不对受让方征收。</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b/>
          <w:color w:val="000000"/>
        </w:rPr>
        <w:t>第四条</w:t>
      </w:r>
      <w:r w:rsidRPr="00D93CC3">
        <w:rPr>
          <w:rFonts w:ascii="微软雅黑" w:eastAsia="微软雅黑" w:hAnsi="微软雅黑" w:hint="eastAsia"/>
          <w:color w:val="000000"/>
        </w:rPr>
        <w:t> </w:t>
      </w:r>
      <w:r w:rsidR="002F3034" w:rsidRPr="00D93CC3">
        <w:rPr>
          <w:rFonts w:ascii="微软雅黑" w:eastAsia="微软雅黑" w:hAnsi="微软雅黑" w:hint="eastAsia"/>
          <w:color w:val="000000"/>
        </w:rPr>
        <w:t xml:space="preserve"> </w:t>
      </w:r>
      <w:r w:rsidRPr="00D93CC3">
        <w:rPr>
          <w:rFonts w:ascii="微软雅黑" w:eastAsia="微软雅黑" w:hAnsi="微软雅黑" w:hint="eastAsia"/>
          <w:color w:val="000000"/>
        </w:rPr>
        <w:t>印花税的税目、税率，依照本法所附《印花税税目税率表》执行。</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b/>
          <w:color w:val="000000"/>
        </w:rPr>
        <w:t>第五条</w:t>
      </w:r>
      <w:r w:rsidRPr="00D93CC3">
        <w:rPr>
          <w:rFonts w:ascii="微软雅黑" w:eastAsia="微软雅黑" w:hAnsi="微软雅黑" w:hint="eastAsia"/>
          <w:color w:val="000000"/>
        </w:rPr>
        <w:t> </w:t>
      </w:r>
      <w:r w:rsidR="002F3034" w:rsidRPr="00D93CC3">
        <w:rPr>
          <w:rFonts w:ascii="微软雅黑" w:eastAsia="微软雅黑" w:hAnsi="微软雅黑" w:hint="eastAsia"/>
          <w:color w:val="000000"/>
        </w:rPr>
        <w:t xml:space="preserve"> </w:t>
      </w:r>
      <w:r w:rsidRPr="00D93CC3">
        <w:rPr>
          <w:rFonts w:ascii="微软雅黑" w:eastAsia="微软雅黑" w:hAnsi="微软雅黑" w:hint="eastAsia"/>
          <w:color w:val="000000"/>
        </w:rPr>
        <w:t>印花税的计税依据如下：</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color w:val="000000"/>
        </w:rPr>
        <w:t>（一）应税合同的计税依据，为合同所列的金额，不包括列明的增值税税款；</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color w:val="000000"/>
        </w:rPr>
        <w:t>（二）应税产权转移书据的计税依据，为产权转移书据所列的金额，不包括列明的增值税税款；</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color w:val="000000"/>
        </w:rPr>
        <w:t>（三）应税营业账簿的计税依据，为账簿记载的实收资本（股本）、资本公积合计金额；</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color w:val="000000"/>
        </w:rPr>
        <w:t>（四）证券交易的计税依据，为成交金额。</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b/>
          <w:color w:val="000000"/>
        </w:rPr>
        <w:t>第六条</w:t>
      </w:r>
      <w:r w:rsidRPr="00D93CC3">
        <w:rPr>
          <w:rFonts w:ascii="微软雅黑" w:eastAsia="微软雅黑" w:hAnsi="微软雅黑" w:hint="eastAsia"/>
          <w:color w:val="000000"/>
        </w:rPr>
        <w:t> </w:t>
      </w:r>
      <w:r w:rsidR="002F3034" w:rsidRPr="00D93CC3">
        <w:rPr>
          <w:rFonts w:ascii="微软雅黑" w:eastAsia="微软雅黑" w:hAnsi="微软雅黑" w:hint="eastAsia"/>
          <w:color w:val="000000"/>
        </w:rPr>
        <w:t xml:space="preserve"> </w:t>
      </w:r>
      <w:r w:rsidRPr="00D93CC3">
        <w:rPr>
          <w:rFonts w:ascii="微软雅黑" w:eastAsia="微软雅黑" w:hAnsi="微软雅黑" w:hint="eastAsia"/>
          <w:color w:val="000000"/>
        </w:rPr>
        <w:t>应税合同、产权转移书据未列明金额的，印花税的计税依据按照实际结算的金额确定。</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color w:val="000000"/>
        </w:rPr>
        <w:t>计税依据按照前款规定仍不能确定的，按照书立合同、产权转移书据时的市场价格确定；依法应当执行政府定价或者政府指导价的，按照国家有关规定确定。</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b/>
          <w:color w:val="000000"/>
        </w:rPr>
        <w:t>第七条</w:t>
      </w:r>
      <w:r w:rsidRPr="00D93CC3">
        <w:rPr>
          <w:rFonts w:ascii="微软雅黑" w:eastAsia="微软雅黑" w:hAnsi="微软雅黑" w:hint="eastAsia"/>
          <w:color w:val="000000"/>
        </w:rPr>
        <w:t> </w:t>
      </w:r>
      <w:r w:rsidR="002F3034" w:rsidRPr="00D93CC3">
        <w:rPr>
          <w:rFonts w:ascii="微软雅黑" w:eastAsia="微软雅黑" w:hAnsi="微软雅黑" w:hint="eastAsia"/>
          <w:color w:val="000000"/>
        </w:rPr>
        <w:t xml:space="preserve"> </w:t>
      </w:r>
      <w:r w:rsidRPr="00D93CC3">
        <w:rPr>
          <w:rFonts w:ascii="微软雅黑" w:eastAsia="微软雅黑" w:hAnsi="微软雅黑" w:hint="eastAsia"/>
          <w:color w:val="000000"/>
        </w:rPr>
        <w:t>证券交易无转让价格的，按照办理过户登记手续时该证券前一个交易日收盘价计算确定计税依据；无收盘价的，按照证券面值计算确定计税依据。</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b/>
          <w:color w:val="000000"/>
        </w:rPr>
        <w:t>第八条</w:t>
      </w:r>
      <w:r w:rsidRPr="00D93CC3">
        <w:rPr>
          <w:rFonts w:ascii="微软雅黑" w:eastAsia="微软雅黑" w:hAnsi="微软雅黑" w:hint="eastAsia"/>
          <w:color w:val="000000"/>
        </w:rPr>
        <w:t> </w:t>
      </w:r>
      <w:r w:rsidR="002F3034" w:rsidRPr="00D93CC3">
        <w:rPr>
          <w:rFonts w:ascii="微软雅黑" w:eastAsia="微软雅黑" w:hAnsi="微软雅黑" w:hint="eastAsia"/>
          <w:color w:val="000000"/>
        </w:rPr>
        <w:t xml:space="preserve"> </w:t>
      </w:r>
      <w:r w:rsidRPr="00D93CC3">
        <w:rPr>
          <w:rFonts w:ascii="微软雅黑" w:eastAsia="微软雅黑" w:hAnsi="微软雅黑" w:hint="eastAsia"/>
          <w:color w:val="000000"/>
        </w:rPr>
        <w:t>印花税的应纳税额按照计税依据乘以适用税率计算。</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b/>
          <w:color w:val="000000"/>
        </w:rPr>
        <w:t>第九条</w:t>
      </w:r>
      <w:r w:rsidRPr="00D93CC3">
        <w:rPr>
          <w:rFonts w:ascii="微软雅黑" w:eastAsia="微软雅黑" w:hAnsi="微软雅黑" w:hint="eastAsia"/>
          <w:color w:val="000000"/>
        </w:rPr>
        <w:t> </w:t>
      </w:r>
      <w:r w:rsidR="002F3034" w:rsidRPr="00D93CC3">
        <w:rPr>
          <w:rFonts w:ascii="微软雅黑" w:eastAsia="微软雅黑" w:hAnsi="微软雅黑" w:hint="eastAsia"/>
          <w:color w:val="000000"/>
        </w:rPr>
        <w:t xml:space="preserve"> </w:t>
      </w:r>
      <w:r w:rsidRPr="00D93CC3">
        <w:rPr>
          <w:rFonts w:ascii="微软雅黑" w:eastAsia="微软雅黑" w:hAnsi="微软雅黑" w:hint="eastAsia"/>
          <w:color w:val="000000"/>
        </w:rPr>
        <w:t>同一应税凭证载有两个以上税目事项并分别列明金额的，按照各自适用的税目税率分别计算应纳税额；未分别列明金额的，从高适用税率。</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b/>
          <w:color w:val="000000"/>
        </w:rPr>
        <w:t>第十条</w:t>
      </w:r>
      <w:r w:rsidRPr="00D93CC3">
        <w:rPr>
          <w:rFonts w:ascii="微软雅黑" w:eastAsia="微软雅黑" w:hAnsi="微软雅黑" w:hint="eastAsia"/>
          <w:color w:val="000000"/>
        </w:rPr>
        <w:t> </w:t>
      </w:r>
      <w:r w:rsidR="002F3034" w:rsidRPr="00D93CC3">
        <w:rPr>
          <w:rFonts w:ascii="微软雅黑" w:eastAsia="微软雅黑" w:hAnsi="微软雅黑" w:hint="eastAsia"/>
          <w:color w:val="000000"/>
        </w:rPr>
        <w:t xml:space="preserve"> </w:t>
      </w:r>
      <w:r w:rsidRPr="00D93CC3">
        <w:rPr>
          <w:rFonts w:ascii="微软雅黑" w:eastAsia="微软雅黑" w:hAnsi="微软雅黑" w:hint="eastAsia"/>
          <w:color w:val="000000"/>
        </w:rPr>
        <w:t>同一应税凭证由两方以上当事人书立的，按照各自涉及的金额分别计算应纳税额。</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b/>
          <w:color w:val="000000"/>
        </w:rPr>
        <w:t>第十一条</w:t>
      </w:r>
      <w:r w:rsidRPr="00D93CC3">
        <w:rPr>
          <w:rFonts w:ascii="微软雅黑" w:eastAsia="微软雅黑" w:hAnsi="微软雅黑" w:hint="eastAsia"/>
          <w:color w:val="000000"/>
        </w:rPr>
        <w:t> </w:t>
      </w:r>
      <w:r w:rsidR="002F3034" w:rsidRPr="00D93CC3">
        <w:rPr>
          <w:rFonts w:ascii="微软雅黑" w:eastAsia="微软雅黑" w:hAnsi="微软雅黑" w:hint="eastAsia"/>
          <w:color w:val="000000"/>
        </w:rPr>
        <w:t xml:space="preserve"> </w:t>
      </w:r>
      <w:r w:rsidRPr="00D93CC3">
        <w:rPr>
          <w:rFonts w:ascii="微软雅黑" w:eastAsia="微软雅黑" w:hAnsi="微软雅黑" w:hint="eastAsia"/>
          <w:color w:val="000000"/>
        </w:rPr>
        <w:t>已缴纳印花税的营业账簿，以后年度记载的实收资本（股本）、资本公积合计金额比已缴纳印花税的实收资本（股本）、资本公积合计金额增加的，按照增加部分计算应纳税额。</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b/>
          <w:color w:val="000000"/>
        </w:rPr>
        <w:t>第十二条</w:t>
      </w:r>
      <w:r w:rsidRPr="00D93CC3">
        <w:rPr>
          <w:rFonts w:ascii="微软雅黑" w:eastAsia="微软雅黑" w:hAnsi="微软雅黑" w:hint="eastAsia"/>
          <w:color w:val="000000"/>
        </w:rPr>
        <w:t> </w:t>
      </w:r>
      <w:r w:rsidR="002F3034" w:rsidRPr="00D93CC3">
        <w:rPr>
          <w:rFonts w:ascii="微软雅黑" w:eastAsia="微软雅黑" w:hAnsi="微软雅黑" w:hint="eastAsia"/>
          <w:color w:val="000000"/>
        </w:rPr>
        <w:t xml:space="preserve"> </w:t>
      </w:r>
      <w:r w:rsidRPr="00D93CC3">
        <w:rPr>
          <w:rFonts w:ascii="微软雅黑" w:eastAsia="微软雅黑" w:hAnsi="微软雅黑" w:hint="eastAsia"/>
          <w:color w:val="000000"/>
        </w:rPr>
        <w:t>下列凭证免征印花税：</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color w:val="000000"/>
        </w:rPr>
        <w:t>（一）应税凭证的副本或者抄本；</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color w:val="000000"/>
        </w:rPr>
        <w:t>（二）依照法律规定应当予以免税的外国驻华使馆、领事馆和国际组织驻华代表机构为获得馆舍书立的应税凭证；</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color w:val="000000"/>
        </w:rPr>
        <w:t>（三）中国人民解放军、中国人民武装警察部队书立的应税凭证；</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color w:val="000000"/>
        </w:rPr>
        <w:t>（四）农民、家庭农场、农民专业合作社、农村集体经济组织、村民委员会购买农业生产资料或者销售农产品书立的买卖合同和农业保险合同；</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color w:val="000000"/>
        </w:rPr>
        <w:t>（五）无息或者贴息借款合同、国际金融组织向中国提供优惠贷款书立的借款合同；</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color w:val="000000"/>
        </w:rPr>
        <w:t>（六）财产所有权人将财产赠与政府、学校、社会福利机构、慈善组织书立的产权转移书据；</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color w:val="000000"/>
        </w:rPr>
        <w:t>（七）非营利性医疗卫生机构采购药品或者卫生材料书立的买卖合同；</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color w:val="000000"/>
        </w:rPr>
        <w:t>（八）个人与电子商务经营者订立的电子订单。</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color w:val="000000"/>
        </w:rPr>
        <w:t>根据国民经济和社会发展的需要，国务院对居民住房需求保障、企业改制重组、破产、支持小型微型企业发展等情形可以规定减征或者免征印花税，报全国人民代表大会常务委员会备案。</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b/>
          <w:color w:val="000000"/>
        </w:rPr>
        <w:t>第十三条</w:t>
      </w:r>
      <w:r w:rsidR="002F3034" w:rsidRPr="00D93CC3">
        <w:rPr>
          <w:rFonts w:ascii="微软雅黑" w:eastAsia="微软雅黑" w:hAnsi="微软雅黑" w:hint="eastAsia"/>
          <w:b/>
          <w:color w:val="000000"/>
        </w:rPr>
        <w:t xml:space="preserve"> </w:t>
      </w:r>
      <w:r w:rsidRPr="00D93CC3">
        <w:rPr>
          <w:rFonts w:ascii="微软雅黑" w:eastAsia="微软雅黑" w:hAnsi="微软雅黑" w:hint="eastAsia"/>
          <w:color w:val="000000"/>
        </w:rPr>
        <w:t> 纳税人为单位的，应当向其机构所在地的主管税务机关申报缴纳印花税；纳税人为个人的，应当向应税凭证书立地或者纳税人居住地的主管税务机关申报缴纳印花税。</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color w:val="000000"/>
        </w:rPr>
        <w:t>不动产产权发生转移的，纳税人应当向不动产所在地的主管税务机关申报缴纳印花税。</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b/>
          <w:color w:val="000000"/>
        </w:rPr>
        <w:t>第十四条</w:t>
      </w:r>
      <w:r w:rsidRPr="00D93CC3">
        <w:rPr>
          <w:rFonts w:ascii="微软雅黑" w:eastAsia="微软雅黑" w:hAnsi="微软雅黑" w:hint="eastAsia"/>
          <w:color w:val="000000"/>
        </w:rPr>
        <w:t> </w:t>
      </w:r>
      <w:r w:rsidR="002F3034" w:rsidRPr="00D93CC3">
        <w:rPr>
          <w:rFonts w:ascii="微软雅黑" w:eastAsia="微软雅黑" w:hAnsi="微软雅黑" w:hint="eastAsia"/>
          <w:color w:val="000000"/>
        </w:rPr>
        <w:t xml:space="preserve"> </w:t>
      </w:r>
      <w:r w:rsidRPr="00D93CC3">
        <w:rPr>
          <w:rFonts w:ascii="微软雅黑" w:eastAsia="微软雅黑" w:hAnsi="微软雅黑" w:hint="eastAsia"/>
          <w:color w:val="000000"/>
        </w:rPr>
        <w:t>纳税人为境外单位或者个人，在境内有代理人的，以其境内代理人为扣缴义务人；在境内没有代理人的，由纳税人自行申报缴纳印花税，具体办法由国务院税务主管部门规定。</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color w:val="000000"/>
        </w:rPr>
        <w:lastRenderedPageBreak/>
        <w:t>证券登记结算机构为证券交易印花税的扣缴义务人，应当向其机构所在地的主管税务机关申报解缴税款以及银行结算的利息。</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b/>
          <w:color w:val="000000"/>
        </w:rPr>
        <w:t>第十五条</w:t>
      </w:r>
      <w:r w:rsidRPr="00D93CC3">
        <w:rPr>
          <w:rFonts w:ascii="微软雅黑" w:eastAsia="微软雅黑" w:hAnsi="微软雅黑" w:hint="eastAsia"/>
          <w:color w:val="000000"/>
        </w:rPr>
        <w:t> </w:t>
      </w:r>
      <w:r w:rsidR="002F3034" w:rsidRPr="00D93CC3">
        <w:rPr>
          <w:rFonts w:ascii="微软雅黑" w:eastAsia="微软雅黑" w:hAnsi="微软雅黑" w:hint="eastAsia"/>
          <w:color w:val="000000"/>
        </w:rPr>
        <w:t xml:space="preserve"> </w:t>
      </w:r>
      <w:r w:rsidRPr="00D93CC3">
        <w:rPr>
          <w:rFonts w:ascii="微软雅黑" w:eastAsia="微软雅黑" w:hAnsi="微软雅黑" w:hint="eastAsia"/>
          <w:color w:val="000000"/>
        </w:rPr>
        <w:t>印花税的纳税义务发生时间为纳税人书立应税凭证或者完成证券交易的当日。</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color w:val="000000"/>
        </w:rPr>
        <w:t>证券交易印花税扣缴义务发生时间为证券交易完成的当日。</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b/>
          <w:color w:val="000000"/>
        </w:rPr>
        <w:t>第十六条</w:t>
      </w:r>
      <w:r w:rsidRPr="00D93CC3">
        <w:rPr>
          <w:rFonts w:ascii="微软雅黑" w:eastAsia="微软雅黑" w:hAnsi="微软雅黑" w:hint="eastAsia"/>
          <w:color w:val="000000"/>
        </w:rPr>
        <w:t> </w:t>
      </w:r>
      <w:r w:rsidR="002F3034" w:rsidRPr="00D93CC3">
        <w:rPr>
          <w:rFonts w:ascii="微软雅黑" w:eastAsia="微软雅黑" w:hAnsi="微软雅黑" w:hint="eastAsia"/>
          <w:color w:val="000000"/>
        </w:rPr>
        <w:t xml:space="preserve"> </w:t>
      </w:r>
      <w:r w:rsidRPr="00D93CC3">
        <w:rPr>
          <w:rFonts w:ascii="微软雅黑" w:eastAsia="微软雅黑" w:hAnsi="微软雅黑" w:hint="eastAsia"/>
          <w:color w:val="000000"/>
        </w:rPr>
        <w:t>印花税按季、按年或者按次计征。实行按季、按年计征的，纳税人应当自季度、年度终了之日起十五日内申报缴纳税款；实行按次计征的，纳税人应当自纳税义务发生之日起十五日内申报缴纳税款。</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color w:val="000000"/>
        </w:rPr>
        <w:t>证券交易印花税按周解缴。证券交易印花税扣缴义务人应当自每周终了之日起五日内申报解缴税款以及银行结算的利息。</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b/>
          <w:color w:val="000000"/>
        </w:rPr>
        <w:t>第十七条</w:t>
      </w:r>
      <w:r w:rsidRPr="00D93CC3">
        <w:rPr>
          <w:rFonts w:ascii="微软雅黑" w:eastAsia="微软雅黑" w:hAnsi="微软雅黑" w:hint="eastAsia"/>
          <w:color w:val="000000"/>
        </w:rPr>
        <w:t> </w:t>
      </w:r>
      <w:r w:rsidR="002F3034" w:rsidRPr="00D93CC3">
        <w:rPr>
          <w:rFonts w:ascii="微软雅黑" w:eastAsia="微软雅黑" w:hAnsi="微软雅黑" w:hint="eastAsia"/>
          <w:color w:val="000000"/>
        </w:rPr>
        <w:t xml:space="preserve"> </w:t>
      </w:r>
      <w:r w:rsidRPr="00D93CC3">
        <w:rPr>
          <w:rFonts w:ascii="微软雅黑" w:eastAsia="微软雅黑" w:hAnsi="微软雅黑" w:hint="eastAsia"/>
          <w:color w:val="000000"/>
        </w:rPr>
        <w:t>印花税可以采用粘贴印花税票或者由税务机关依法开具其他完税凭证的方式缴纳。</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r w:rsidRPr="00D93CC3">
        <w:rPr>
          <w:rFonts w:ascii="微软雅黑" w:eastAsia="微软雅黑" w:hAnsi="微软雅黑" w:hint="eastAsia"/>
          <w:color w:val="000000"/>
        </w:rPr>
        <w:t>印花税票粘贴在应税凭证上的，由纳税人在每枚税票的骑缝处盖戳注销或者画销。</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rPr>
      </w:pPr>
      <w:r w:rsidRPr="00D93CC3">
        <w:rPr>
          <w:rFonts w:ascii="微软雅黑" w:eastAsia="微软雅黑" w:hAnsi="微软雅黑" w:hint="eastAsia"/>
        </w:rPr>
        <w:t>印花税票由国务院税务主管部门监制。</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rPr>
      </w:pPr>
      <w:r w:rsidRPr="00D93CC3">
        <w:rPr>
          <w:rFonts w:ascii="微软雅黑" w:eastAsia="微软雅黑" w:hAnsi="微软雅黑" w:hint="eastAsia"/>
          <w:b/>
        </w:rPr>
        <w:t>第十八条</w:t>
      </w:r>
      <w:r w:rsidRPr="00D93CC3">
        <w:rPr>
          <w:rFonts w:ascii="微软雅黑" w:eastAsia="微软雅黑" w:hAnsi="微软雅黑" w:hint="eastAsia"/>
        </w:rPr>
        <w:t> </w:t>
      </w:r>
      <w:r w:rsidR="002F3034" w:rsidRPr="00D93CC3">
        <w:rPr>
          <w:rFonts w:ascii="微软雅黑" w:eastAsia="微软雅黑" w:hAnsi="微软雅黑" w:hint="eastAsia"/>
        </w:rPr>
        <w:t xml:space="preserve"> </w:t>
      </w:r>
      <w:r w:rsidRPr="00D93CC3">
        <w:rPr>
          <w:rFonts w:ascii="微软雅黑" w:eastAsia="微软雅黑" w:hAnsi="微软雅黑" w:hint="eastAsia"/>
        </w:rPr>
        <w:t>印花税由税务机关依照本法和《中华人民共和国税收征收管理法》的规定征收管理。</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rPr>
      </w:pPr>
      <w:r w:rsidRPr="00D93CC3">
        <w:rPr>
          <w:rFonts w:ascii="微软雅黑" w:eastAsia="微软雅黑" w:hAnsi="微软雅黑" w:hint="eastAsia"/>
          <w:b/>
        </w:rPr>
        <w:t>第十九条</w:t>
      </w:r>
      <w:r w:rsidRPr="00D93CC3">
        <w:rPr>
          <w:rFonts w:ascii="微软雅黑" w:eastAsia="微软雅黑" w:hAnsi="微软雅黑" w:hint="eastAsia"/>
        </w:rPr>
        <w:t> </w:t>
      </w:r>
      <w:r w:rsidR="002F3034" w:rsidRPr="00D93CC3">
        <w:rPr>
          <w:rFonts w:ascii="微软雅黑" w:eastAsia="微软雅黑" w:hAnsi="微软雅黑" w:hint="eastAsia"/>
        </w:rPr>
        <w:t xml:space="preserve"> </w:t>
      </w:r>
      <w:r w:rsidRPr="00D93CC3">
        <w:rPr>
          <w:rFonts w:ascii="微软雅黑" w:eastAsia="微软雅黑" w:hAnsi="微软雅黑" w:hint="eastAsia"/>
        </w:rPr>
        <w:t>纳税人、扣缴义务人和税务机关及其工作人员违反本法规定的，依照《中华人民共和国税收征收管理法》和有关法律、行政法规的规定追究法律责任。</w:t>
      </w:r>
    </w:p>
    <w:p w:rsidR="000D11E9" w:rsidRPr="00D93CC3" w:rsidRDefault="000D11E9" w:rsidP="00D93CC3">
      <w:pPr>
        <w:pStyle w:val="law-editor-text"/>
        <w:spacing w:before="0" w:beforeAutospacing="0" w:after="0" w:afterAutospacing="0" w:line="300" w:lineRule="exact"/>
        <w:ind w:firstLineChars="200" w:firstLine="480"/>
        <w:jc w:val="both"/>
        <w:rPr>
          <w:rFonts w:ascii="微软雅黑" w:eastAsia="微软雅黑" w:hAnsi="微软雅黑" w:hint="eastAsia"/>
        </w:rPr>
      </w:pPr>
      <w:r w:rsidRPr="00D93CC3">
        <w:rPr>
          <w:rFonts w:ascii="微软雅黑" w:eastAsia="微软雅黑" w:hAnsi="微软雅黑" w:hint="eastAsia"/>
          <w:b/>
        </w:rPr>
        <w:t>第二十条</w:t>
      </w:r>
      <w:r w:rsidRPr="00D93CC3">
        <w:rPr>
          <w:rFonts w:ascii="微软雅黑" w:eastAsia="微软雅黑" w:hAnsi="微软雅黑" w:hint="eastAsia"/>
        </w:rPr>
        <w:t> </w:t>
      </w:r>
      <w:r w:rsidR="002F3034" w:rsidRPr="00D93CC3">
        <w:rPr>
          <w:rFonts w:ascii="微软雅黑" w:eastAsia="微软雅黑" w:hAnsi="微软雅黑" w:hint="eastAsia"/>
        </w:rPr>
        <w:t xml:space="preserve"> </w:t>
      </w:r>
      <w:r w:rsidRPr="00D93CC3">
        <w:rPr>
          <w:rFonts w:ascii="微软雅黑" w:eastAsia="微软雅黑" w:hAnsi="微软雅黑" w:hint="eastAsia"/>
        </w:rPr>
        <w:t>本法自2022年7月1日起施行。1988年8月6日国务院发布的《中华人民共和国印花税暂行条例》同时废止。</w:t>
      </w:r>
    </w:p>
    <w:p w:rsidR="00D93CC3" w:rsidRPr="00D93CC3" w:rsidRDefault="00D93CC3" w:rsidP="00D93CC3">
      <w:pPr>
        <w:pStyle w:val="law-editor-text"/>
        <w:spacing w:before="0" w:beforeAutospacing="0" w:after="0" w:afterAutospacing="0" w:line="300" w:lineRule="exact"/>
        <w:ind w:firstLineChars="200" w:firstLine="480"/>
        <w:jc w:val="both"/>
        <w:rPr>
          <w:rFonts w:ascii="微软雅黑" w:eastAsia="微软雅黑" w:hAnsi="微软雅黑"/>
          <w:color w:val="000000"/>
        </w:rPr>
      </w:pPr>
    </w:p>
    <w:p w:rsidR="000D11E9" w:rsidRPr="00D93CC3" w:rsidRDefault="000D11E9" w:rsidP="00D93CC3">
      <w:pPr>
        <w:pStyle w:val="law-editor-text"/>
        <w:spacing w:before="0" w:beforeAutospacing="0" w:after="0" w:afterAutospacing="0" w:line="300" w:lineRule="exact"/>
        <w:ind w:firstLine="480"/>
        <w:jc w:val="both"/>
        <w:rPr>
          <w:rFonts w:ascii="微软雅黑" w:eastAsia="微软雅黑" w:hAnsi="微软雅黑"/>
          <w:color w:val="000000"/>
        </w:rPr>
      </w:pPr>
      <w:r w:rsidRPr="00D93CC3">
        <w:rPr>
          <w:rFonts w:ascii="微软雅黑" w:eastAsia="微软雅黑" w:hAnsi="微软雅黑" w:hint="eastAsia"/>
          <w:color w:val="000000"/>
        </w:rPr>
        <w:t>附：</w:t>
      </w:r>
    </w:p>
    <w:p w:rsidR="007F0382" w:rsidRDefault="000D11E9" w:rsidP="00C27E36">
      <w:pPr>
        <w:jc w:val="center"/>
      </w:pPr>
      <w:r>
        <w:rPr>
          <w:noProof/>
        </w:rPr>
        <w:drawing>
          <wp:inline distT="0" distB="0" distL="0" distR="0">
            <wp:extent cx="6172198" cy="5857875"/>
            <wp:effectExtent l="19050" t="0" r="2" b="0"/>
            <wp:docPr id="1" name="图片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6" cstate="print"/>
                    <a:stretch>
                      <a:fillRect/>
                    </a:stretch>
                  </pic:blipFill>
                  <pic:spPr>
                    <a:xfrm>
                      <a:off x="0" y="0"/>
                      <a:ext cx="6175619" cy="5861121"/>
                    </a:xfrm>
                    <a:prstGeom prst="rect">
                      <a:avLst/>
                    </a:prstGeom>
                  </pic:spPr>
                </pic:pic>
              </a:graphicData>
            </a:graphic>
          </wp:inline>
        </w:drawing>
      </w:r>
    </w:p>
    <w:p w:rsidR="000D11E9" w:rsidRDefault="000D11E9" w:rsidP="00855327">
      <w:pPr>
        <w:jc w:val="center"/>
      </w:pPr>
      <w:r>
        <w:rPr>
          <w:noProof/>
        </w:rPr>
        <w:lastRenderedPageBreak/>
        <w:drawing>
          <wp:inline distT="0" distB="0" distL="0" distR="0">
            <wp:extent cx="6248400" cy="8143875"/>
            <wp:effectExtent l="19050" t="0" r="0" b="0"/>
            <wp:docPr id="2" name="图片 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7" cstate="print"/>
                    <a:stretch>
                      <a:fillRect/>
                    </a:stretch>
                  </pic:blipFill>
                  <pic:spPr>
                    <a:xfrm>
                      <a:off x="0" y="0"/>
                      <a:ext cx="6251186" cy="8147506"/>
                    </a:xfrm>
                    <a:prstGeom prst="rect">
                      <a:avLst/>
                    </a:prstGeom>
                  </pic:spPr>
                </pic:pic>
              </a:graphicData>
            </a:graphic>
          </wp:inline>
        </w:drawing>
      </w:r>
    </w:p>
    <w:sectPr w:rsidR="000D11E9" w:rsidSect="00D93CC3">
      <w:footerReference w:type="default" r:id="rId8"/>
      <w:pgSz w:w="11906" w:h="16838"/>
      <w:pgMar w:top="720" w:right="720" w:bottom="720" w:left="720" w:header="283" w:footer="28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94B" w:rsidRDefault="004B694B" w:rsidP="00C27E36">
      <w:r>
        <w:separator/>
      </w:r>
    </w:p>
  </w:endnote>
  <w:endnote w:type="continuationSeparator" w:id="0">
    <w:p w:rsidR="004B694B" w:rsidRDefault="004B694B" w:rsidP="00C27E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097111"/>
      <w:docPartObj>
        <w:docPartGallery w:val="Page Numbers (Bottom of Page)"/>
        <w:docPartUnique/>
      </w:docPartObj>
    </w:sdtPr>
    <w:sdtEndPr>
      <w:rPr>
        <w:sz w:val="24"/>
        <w:szCs w:val="24"/>
      </w:rPr>
    </w:sdtEndPr>
    <w:sdtContent>
      <w:p w:rsidR="00D93CC3" w:rsidRDefault="00D93CC3">
        <w:pPr>
          <w:pStyle w:val="a5"/>
          <w:jc w:val="right"/>
        </w:pPr>
        <w:r>
          <w:rPr>
            <w:rFonts w:hint="eastAsia"/>
          </w:rPr>
          <w:t xml:space="preserve">- </w:t>
        </w:r>
        <w:r w:rsidRPr="00D93CC3">
          <w:rPr>
            <w:sz w:val="24"/>
            <w:szCs w:val="24"/>
          </w:rPr>
          <w:fldChar w:fldCharType="begin"/>
        </w:r>
        <w:r w:rsidRPr="00D93CC3">
          <w:rPr>
            <w:sz w:val="24"/>
            <w:szCs w:val="24"/>
          </w:rPr>
          <w:instrText xml:space="preserve"> PAGE   \* MERGEFORMAT </w:instrText>
        </w:r>
        <w:r w:rsidRPr="00D93CC3">
          <w:rPr>
            <w:sz w:val="24"/>
            <w:szCs w:val="24"/>
          </w:rPr>
          <w:fldChar w:fldCharType="separate"/>
        </w:r>
        <w:r w:rsidRPr="00D93CC3">
          <w:rPr>
            <w:noProof/>
            <w:sz w:val="24"/>
            <w:szCs w:val="24"/>
            <w:lang w:val="zh-CN"/>
          </w:rPr>
          <w:t>1</w:t>
        </w:r>
        <w:r w:rsidRPr="00D93CC3">
          <w:rPr>
            <w:sz w:val="24"/>
            <w:szCs w:val="24"/>
          </w:rPr>
          <w:fldChar w:fldCharType="end"/>
        </w:r>
        <w:r>
          <w:rPr>
            <w:rFonts w:hint="eastAsia"/>
            <w:sz w:val="24"/>
            <w:szCs w:val="24"/>
          </w:rPr>
          <w:t xml:space="preserve"> -</w:t>
        </w:r>
      </w:p>
    </w:sdtContent>
  </w:sdt>
  <w:p w:rsidR="00D93CC3" w:rsidRDefault="00D93CC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94B" w:rsidRDefault="004B694B" w:rsidP="00C27E36">
      <w:r>
        <w:separator/>
      </w:r>
    </w:p>
  </w:footnote>
  <w:footnote w:type="continuationSeparator" w:id="0">
    <w:p w:rsidR="004B694B" w:rsidRDefault="004B694B" w:rsidP="00C27E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11E9"/>
    <w:rsid w:val="000D11E9"/>
    <w:rsid w:val="002A2502"/>
    <w:rsid w:val="002F3034"/>
    <w:rsid w:val="00412F26"/>
    <w:rsid w:val="00447A76"/>
    <w:rsid w:val="004B694B"/>
    <w:rsid w:val="007F0382"/>
    <w:rsid w:val="00855327"/>
    <w:rsid w:val="00A91082"/>
    <w:rsid w:val="00C27E36"/>
    <w:rsid w:val="00D93CC3"/>
    <w:rsid w:val="00F776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3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editor-title">
    <w:name w:val="law-editor-title"/>
    <w:basedOn w:val="a"/>
    <w:rsid w:val="000D11E9"/>
    <w:pPr>
      <w:widowControl/>
      <w:spacing w:before="100" w:beforeAutospacing="1" w:after="100" w:afterAutospacing="1"/>
      <w:jc w:val="left"/>
    </w:pPr>
    <w:rPr>
      <w:rFonts w:ascii="宋体" w:eastAsia="宋体" w:hAnsi="宋体" w:cs="宋体"/>
      <w:kern w:val="0"/>
      <w:sz w:val="24"/>
      <w:szCs w:val="24"/>
    </w:rPr>
  </w:style>
  <w:style w:type="paragraph" w:customStyle="1" w:styleId="padding">
    <w:name w:val="padding"/>
    <w:basedOn w:val="a"/>
    <w:rsid w:val="000D11E9"/>
    <w:pPr>
      <w:widowControl/>
      <w:spacing w:before="100" w:beforeAutospacing="1" w:after="100" w:afterAutospacing="1"/>
      <w:jc w:val="left"/>
    </w:pPr>
    <w:rPr>
      <w:rFonts w:ascii="宋体" w:eastAsia="宋体" w:hAnsi="宋体" w:cs="宋体"/>
      <w:kern w:val="0"/>
      <w:sz w:val="24"/>
      <w:szCs w:val="24"/>
    </w:rPr>
  </w:style>
  <w:style w:type="paragraph" w:customStyle="1" w:styleId="law-editor-revision">
    <w:name w:val="law-editor-revision"/>
    <w:basedOn w:val="a"/>
    <w:rsid w:val="000D11E9"/>
    <w:pPr>
      <w:widowControl/>
      <w:spacing w:before="100" w:beforeAutospacing="1" w:after="100" w:afterAutospacing="1"/>
      <w:jc w:val="left"/>
    </w:pPr>
    <w:rPr>
      <w:rFonts w:ascii="宋体" w:eastAsia="宋体" w:hAnsi="宋体" w:cs="宋体"/>
      <w:kern w:val="0"/>
      <w:sz w:val="24"/>
      <w:szCs w:val="24"/>
    </w:rPr>
  </w:style>
  <w:style w:type="paragraph" w:customStyle="1" w:styleId="law-editor-text">
    <w:name w:val="law-editor-text"/>
    <w:basedOn w:val="a"/>
    <w:rsid w:val="000D11E9"/>
    <w:pPr>
      <w:widowControl/>
      <w:spacing w:before="100" w:beforeAutospacing="1" w:after="100" w:afterAutospacing="1"/>
      <w:jc w:val="left"/>
    </w:pPr>
    <w:rPr>
      <w:rFonts w:ascii="宋体" w:eastAsia="宋体" w:hAnsi="宋体" w:cs="宋体"/>
      <w:kern w:val="0"/>
      <w:sz w:val="24"/>
      <w:szCs w:val="24"/>
    </w:rPr>
  </w:style>
  <w:style w:type="paragraph" w:styleId="a3">
    <w:name w:val="Balloon Text"/>
    <w:basedOn w:val="a"/>
    <w:link w:val="Char"/>
    <w:uiPriority w:val="99"/>
    <w:semiHidden/>
    <w:unhideWhenUsed/>
    <w:rsid w:val="000D11E9"/>
    <w:rPr>
      <w:sz w:val="18"/>
      <w:szCs w:val="18"/>
    </w:rPr>
  </w:style>
  <w:style w:type="character" w:customStyle="1" w:styleId="Char">
    <w:name w:val="批注框文本 Char"/>
    <w:basedOn w:val="a0"/>
    <w:link w:val="a3"/>
    <w:uiPriority w:val="99"/>
    <w:semiHidden/>
    <w:rsid w:val="000D11E9"/>
    <w:rPr>
      <w:sz w:val="18"/>
      <w:szCs w:val="18"/>
    </w:rPr>
  </w:style>
  <w:style w:type="paragraph" w:styleId="a4">
    <w:name w:val="header"/>
    <w:basedOn w:val="a"/>
    <w:link w:val="Char0"/>
    <w:uiPriority w:val="99"/>
    <w:semiHidden/>
    <w:unhideWhenUsed/>
    <w:rsid w:val="00C27E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C27E36"/>
    <w:rPr>
      <w:sz w:val="18"/>
      <w:szCs w:val="18"/>
    </w:rPr>
  </w:style>
  <w:style w:type="paragraph" w:styleId="a5">
    <w:name w:val="footer"/>
    <w:basedOn w:val="a"/>
    <w:link w:val="Char1"/>
    <w:uiPriority w:val="99"/>
    <w:unhideWhenUsed/>
    <w:rsid w:val="00C27E36"/>
    <w:pPr>
      <w:tabs>
        <w:tab w:val="center" w:pos="4153"/>
        <w:tab w:val="right" w:pos="8306"/>
      </w:tabs>
      <w:snapToGrid w:val="0"/>
      <w:jc w:val="left"/>
    </w:pPr>
    <w:rPr>
      <w:sz w:val="18"/>
      <w:szCs w:val="18"/>
    </w:rPr>
  </w:style>
  <w:style w:type="character" w:customStyle="1" w:styleId="Char1">
    <w:name w:val="页脚 Char"/>
    <w:basedOn w:val="a0"/>
    <w:link w:val="a5"/>
    <w:uiPriority w:val="99"/>
    <w:rsid w:val="00C27E36"/>
    <w:rPr>
      <w:sz w:val="18"/>
      <w:szCs w:val="18"/>
    </w:rPr>
  </w:style>
  <w:style w:type="paragraph" w:styleId="a6">
    <w:name w:val="Date"/>
    <w:basedOn w:val="a"/>
    <w:next w:val="a"/>
    <w:link w:val="Char2"/>
    <w:uiPriority w:val="99"/>
    <w:semiHidden/>
    <w:unhideWhenUsed/>
    <w:rsid w:val="00D93CC3"/>
    <w:pPr>
      <w:ind w:leftChars="2500" w:left="100"/>
    </w:pPr>
  </w:style>
  <w:style w:type="character" w:customStyle="1" w:styleId="Char2">
    <w:name w:val="日期 Char"/>
    <w:basedOn w:val="a0"/>
    <w:link w:val="a6"/>
    <w:uiPriority w:val="99"/>
    <w:semiHidden/>
    <w:rsid w:val="00D93CC3"/>
  </w:style>
</w:styles>
</file>

<file path=word/webSettings.xml><?xml version="1.0" encoding="utf-8"?>
<w:webSettings xmlns:r="http://schemas.openxmlformats.org/officeDocument/2006/relationships" xmlns:w="http://schemas.openxmlformats.org/wordprocessingml/2006/main">
  <w:divs>
    <w:div w:id="144496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307</Words>
  <Characters>1755</Characters>
  <Application>Microsoft Office Word</Application>
  <DocSecurity>0</DocSecurity>
  <Lines>14</Lines>
  <Paragraphs>4</Paragraphs>
  <ScaleCrop>false</ScaleCrop>
  <Company>newdaxie</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D079</dc:title>
  <dc:creator>新大榭</dc:creator>
  <cp:lastModifiedBy>Zhanglb</cp:lastModifiedBy>
  <cp:revision>7</cp:revision>
  <dcterms:created xsi:type="dcterms:W3CDTF">2023-04-09T14:44:00Z</dcterms:created>
  <dcterms:modified xsi:type="dcterms:W3CDTF">2025-08-06T07:35:00Z</dcterms:modified>
</cp:coreProperties>
</file>